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DCCB9" w14:textId="4A9CB783" w:rsidR="00BE5F22" w:rsidRPr="009108B9" w:rsidRDefault="00BE5F22" w:rsidP="000E795C">
      <w:pPr>
        <w:pStyle w:val="Lista"/>
        <w:ind w:left="7483" w:firstLine="437"/>
        <w:outlineLvl w:val="2"/>
        <w:rPr>
          <w:b/>
          <w:bCs/>
        </w:rPr>
      </w:pPr>
      <w:bookmarkStart w:id="0" w:name="_Toc228169288"/>
      <w:r w:rsidRPr="009108B9">
        <w:rPr>
          <w:b/>
          <w:bCs/>
        </w:rPr>
        <w:t xml:space="preserve">Załącznik nr </w:t>
      </w:r>
      <w:r w:rsidR="009016EA">
        <w:rPr>
          <w:b/>
          <w:bCs/>
        </w:rPr>
        <w:t>4</w:t>
      </w:r>
    </w:p>
    <w:p w14:paraId="2A339340" w14:textId="62C75249" w:rsidR="00BE5F22" w:rsidRPr="00E1452B" w:rsidRDefault="00BE5F22" w:rsidP="00BE5F22">
      <w:pPr>
        <w:pStyle w:val="Lista"/>
        <w:jc w:val="right"/>
        <w:outlineLvl w:val="2"/>
        <w:rPr>
          <w:b/>
          <w:bCs/>
        </w:rPr>
      </w:pPr>
      <w:r w:rsidRPr="00E1452B">
        <w:t xml:space="preserve">znak sprawy: </w:t>
      </w:r>
      <w:r w:rsidR="000E795C" w:rsidRPr="00294829">
        <w:t>KZP-1/253/TTZ/</w:t>
      </w:r>
      <w:r w:rsidR="00C406F6">
        <w:t>1</w:t>
      </w:r>
      <w:r w:rsidR="000029F3">
        <w:t>7</w:t>
      </w:r>
      <w:r w:rsidR="000E795C" w:rsidRPr="00294829">
        <w:t>/2</w:t>
      </w:r>
      <w:r w:rsidR="00C406F6">
        <w:t>6</w:t>
      </w:r>
      <w:r w:rsidR="009016EA">
        <w:t>/UE</w:t>
      </w:r>
    </w:p>
    <w:p w14:paraId="17A4C104" w14:textId="77777777" w:rsidR="00BE5F22" w:rsidRDefault="00BE5F22" w:rsidP="00BE5F22">
      <w:pPr>
        <w:pStyle w:val="Lista"/>
        <w:ind w:left="0" w:firstLine="0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</w:p>
    <w:p w14:paraId="268D63DD" w14:textId="77777777" w:rsidR="00BE5F22" w:rsidRDefault="00BE5F22" w:rsidP="00BE5F22">
      <w:pPr>
        <w:pStyle w:val="Lista"/>
        <w:ind w:left="0" w:firstLine="0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</w:p>
    <w:p w14:paraId="193CCB9C" w14:textId="77777777" w:rsidR="00BE5F22" w:rsidRPr="00BE5F22" w:rsidRDefault="00BE5F22" w:rsidP="00BE5F22">
      <w:pPr>
        <w:pStyle w:val="Lista"/>
        <w:ind w:left="0" w:firstLine="0"/>
        <w:jc w:val="center"/>
        <w:outlineLvl w:val="2"/>
        <w:rPr>
          <w:b/>
          <w:bCs/>
          <w:sz w:val="22"/>
          <w:szCs w:val="22"/>
        </w:rPr>
      </w:pPr>
      <w:r w:rsidRPr="00BE5F22">
        <w:rPr>
          <w:b/>
          <w:bCs/>
          <w:sz w:val="22"/>
          <w:szCs w:val="22"/>
        </w:rPr>
        <w:t>WYMAGANIA TECHNICZNE DOTYCZĄCE ROZDZIELNICY NISKIEGO NAPIĘCIA ORAZ APARATURY ROZDZIELCZEJ I ZABEZPIECZAJĄCEJ</w:t>
      </w:r>
    </w:p>
    <w:p w14:paraId="4C5BED99" w14:textId="77777777" w:rsidR="00BE5F22" w:rsidRPr="00BE5F22" w:rsidRDefault="00BE5F22" w:rsidP="00BE5F22">
      <w:pPr>
        <w:pStyle w:val="Lista"/>
        <w:ind w:left="0" w:firstLine="437"/>
        <w:jc w:val="both"/>
        <w:outlineLvl w:val="2"/>
        <w:rPr>
          <w:b/>
          <w:bCs/>
          <w:sz w:val="22"/>
          <w:szCs w:val="22"/>
        </w:rPr>
      </w:pPr>
    </w:p>
    <w:p w14:paraId="7DB6DCD2" w14:textId="77777777" w:rsidR="00CE76C4" w:rsidRPr="00BE5F22" w:rsidRDefault="00BE5F22" w:rsidP="00BE5F22">
      <w:pPr>
        <w:pStyle w:val="Lista"/>
        <w:jc w:val="both"/>
        <w:outlineLvl w:val="2"/>
        <w:rPr>
          <w:b/>
          <w:bCs/>
          <w:sz w:val="22"/>
          <w:szCs w:val="22"/>
        </w:rPr>
      </w:pPr>
      <w:r w:rsidRPr="00BE5F22">
        <w:rPr>
          <w:b/>
          <w:bCs/>
          <w:sz w:val="22"/>
          <w:szCs w:val="22"/>
        </w:rPr>
        <w:t xml:space="preserve">I. </w:t>
      </w:r>
      <w:r w:rsidR="00CE76C4" w:rsidRPr="00BE5F22">
        <w:rPr>
          <w:b/>
          <w:bCs/>
          <w:sz w:val="22"/>
          <w:szCs w:val="22"/>
        </w:rPr>
        <w:t xml:space="preserve">Rozdzielnice niskiego napięcia. </w:t>
      </w:r>
      <w:bookmarkEnd w:id="0"/>
    </w:p>
    <w:p w14:paraId="6B42671D" w14:textId="77777777" w:rsidR="00CE76C4" w:rsidRPr="00BE5F22" w:rsidRDefault="00CE76C4" w:rsidP="00BE5F22">
      <w:pPr>
        <w:pStyle w:val="Tekstpodstawowywcity2"/>
        <w:ind w:firstLine="0"/>
        <w:rPr>
          <w:rFonts w:ascii="Times New Roman" w:hAnsi="Times New Roman" w:cs="Times New Roman"/>
          <w:szCs w:val="22"/>
        </w:rPr>
      </w:pPr>
      <w:r w:rsidRPr="00BE5F22">
        <w:rPr>
          <w:rFonts w:ascii="Times New Roman" w:hAnsi="Times New Roman" w:cs="Times New Roman"/>
          <w:szCs w:val="22"/>
        </w:rPr>
        <w:t xml:space="preserve">Podstawowym elementem systemu dystrybucji energii elektrycznej na obiekcie MPEC- </w:t>
      </w:r>
      <w:r w:rsidR="00BE5F22" w:rsidRPr="00BE5F22">
        <w:rPr>
          <w:rFonts w:ascii="Times New Roman" w:hAnsi="Times New Roman" w:cs="Times New Roman"/>
          <w:szCs w:val="22"/>
        </w:rPr>
        <w:t>Rzeszów</w:t>
      </w:r>
      <w:r w:rsidR="00BE5F22">
        <w:rPr>
          <w:rFonts w:ascii="Times New Roman" w:hAnsi="Times New Roman" w:cs="Times New Roman"/>
          <w:szCs w:val="22"/>
        </w:rPr>
        <w:t xml:space="preserve"> </w:t>
      </w:r>
      <w:r w:rsidR="00AD7A53">
        <w:rPr>
          <w:rFonts w:ascii="Times New Roman" w:hAnsi="Times New Roman" w:cs="Times New Roman"/>
          <w:szCs w:val="22"/>
        </w:rPr>
        <w:t xml:space="preserve">Sp. z o.o. </w:t>
      </w:r>
      <w:r w:rsidRPr="00BE5F22">
        <w:rPr>
          <w:rFonts w:ascii="Times New Roman" w:hAnsi="Times New Roman" w:cs="Times New Roman"/>
          <w:szCs w:val="22"/>
        </w:rPr>
        <w:t>są rozdzielnice niskiego napięcia</w:t>
      </w:r>
      <w:r w:rsidR="009B33DC">
        <w:rPr>
          <w:rFonts w:ascii="Times New Roman" w:hAnsi="Times New Roman" w:cs="Times New Roman"/>
          <w:szCs w:val="22"/>
        </w:rPr>
        <w:t>.</w:t>
      </w:r>
    </w:p>
    <w:p w14:paraId="6D7AA311" w14:textId="77777777" w:rsidR="00CE76C4" w:rsidRPr="00BE5F22" w:rsidRDefault="00CE76C4" w:rsidP="00BE5F22">
      <w:pPr>
        <w:pStyle w:val="Tekstpodstawowywcity2"/>
        <w:rPr>
          <w:rFonts w:ascii="Times New Roman" w:hAnsi="Times New Roman" w:cs="Times New Roman"/>
          <w:szCs w:val="22"/>
        </w:rPr>
      </w:pPr>
    </w:p>
    <w:p w14:paraId="14CEB3CC" w14:textId="77777777" w:rsidR="00CE76C4" w:rsidRPr="00BE5F22" w:rsidRDefault="00CE76C4" w:rsidP="00BE5F22">
      <w:pPr>
        <w:pStyle w:val="Tekstpodstawowywcity2"/>
        <w:ind w:firstLine="0"/>
        <w:rPr>
          <w:rFonts w:ascii="Times New Roman" w:hAnsi="Times New Roman" w:cs="Times New Roman"/>
          <w:szCs w:val="22"/>
        </w:rPr>
      </w:pPr>
      <w:r w:rsidRPr="00BE5F22">
        <w:rPr>
          <w:rFonts w:ascii="Times New Roman" w:hAnsi="Times New Roman" w:cs="Times New Roman"/>
          <w:b/>
          <w:szCs w:val="22"/>
        </w:rPr>
        <w:t>Podstawowe parametry zastosowanych rozdzielnic głównych</w:t>
      </w:r>
      <w:r w:rsidRPr="00BE5F22">
        <w:rPr>
          <w:rFonts w:ascii="Times New Roman" w:hAnsi="Times New Roman" w:cs="Times New Roman"/>
          <w:szCs w:val="22"/>
        </w:rPr>
        <w:t>:</w:t>
      </w:r>
    </w:p>
    <w:p w14:paraId="58D44CE2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Zgodność normą EN 60439-3,</w:t>
      </w:r>
    </w:p>
    <w:p w14:paraId="639667A5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Stopień ochrony IP65,</w:t>
      </w:r>
    </w:p>
    <w:p w14:paraId="1C131436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Odporność na uderzenia IK09</w:t>
      </w:r>
    </w:p>
    <w:p w14:paraId="22FB2B58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Rozdzielnice muszą być w II klasie ochronności,</w:t>
      </w:r>
    </w:p>
    <w:p w14:paraId="18BA8CA3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Drzwiczki muszą być w pełni odwracalne,</w:t>
      </w:r>
    </w:p>
    <w:p w14:paraId="47B20F7F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 xml:space="preserve">Wspornik montażowy TH35 musi posiadać dwie pozycje mocowania przystosowane do montażu aparatury o wymiarach innych niż aparatura modułowa. </w:t>
      </w:r>
    </w:p>
    <w:p w14:paraId="15096384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Klamki muszą być przystosowane do montażu zamka jednocześnie muszą mieć możliwość plombowania,</w:t>
      </w:r>
    </w:p>
    <w:p w14:paraId="243B7368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 xml:space="preserve">Zastosowane rozdzielnice muszą mieć obudowę w kolorze L750A oraz drzwi transparentne w kolorze R746A. </w:t>
      </w:r>
    </w:p>
    <w:p w14:paraId="17C715F4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 xml:space="preserve">Ze względu na ułatwienie montażu rozdzielnice muszą być wyposażone w wyjmowaną podstawę pozwalająca na wykonanie oprzewodowania poza rozdzielnicą </w:t>
      </w:r>
    </w:p>
    <w:p w14:paraId="4BA1FBD2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Na seryjnym wyposażeniu zastosowanej rozdzielnicy muszą być listwy zaciskowe N i PE o regulowanym położeniu.</w:t>
      </w:r>
    </w:p>
    <w:p w14:paraId="20467A63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 xml:space="preserve">Również ze względu na prawidłowe zachowanie montażu rozdzielnica musi posiadać odpowiednią ilość miejsca na prowadzenie przewodów pomiędzy szyną TH35 a bokiem rozdzielnicy 38mm i pomiędzy szyna TH35 a „plecami” 45mm. </w:t>
      </w:r>
    </w:p>
    <w:p w14:paraId="4AD1EC4D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 xml:space="preserve">Również ze względu na możliwość rozbudowy rozdzielnica musi posiadać standardowe zestawy do łączenia obudów zarówno z boku jak i z góry z zachowaniem stopnia szczelności IP65, </w:t>
      </w:r>
    </w:p>
    <w:p w14:paraId="7263129F" w14:textId="77777777" w:rsidR="00CE76C4" w:rsidRPr="00BE5F22" w:rsidRDefault="00CE76C4" w:rsidP="00BE5F22">
      <w:pPr>
        <w:shd w:val="clear" w:color="auto" w:fill="FFFFFF"/>
        <w:tabs>
          <w:tab w:val="left" w:pos="709"/>
        </w:tabs>
        <w:jc w:val="both"/>
        <w:rPr>
          <w:sz w:val="16"/>
          <w:szCs w:val="16"/>
        </w:rPr>
      </w:pPr>
    </w:p>
    <w:p w14:paraId="5DCE56FF" w14:textId="77777777" w:rsidR="00CE76C4" w:rsidRPr="00BE5F22" w:rsidRDefault="00BE5F22" w:rsidP="00BE5F22">
      <w:pPr>
        <w:pStyle w:val="Lista"/>
        <w:ind w:left="0" w:firstLine="0"/>
        <w:jc w:val="both"/>
        <w:outlineLvl w:val="2"/>
        <w:rPr>
          <w:b/>
          <w:bCs/>
          <w:sz w:val="22"/>
          <w:szCs w:val="22"/>
        </w:rPr>
      </w:pPr>
      <w:r w:rsidRPr="00BE5F22">
        <w:rPr>
          <w:b/>
          <w:bCs/>
          <w:sz w:val="22"/>
          <w:szCs w:val="22"/>
        </w:rPr>
        <w:t xml:space="preserve">II. </w:t>
      </w:r>
      <w:r w:rsidR="00CE76C4" w:rsidRPr="00BE5F22">
        <w:rPr>
          <w:b/>
          <w:bCs/>
          <w:sz w:val="22"/>
          <w:szCs w:val="22"/>
        </w:rPr>
        <w:t xml:space="preserve">Aparatura rozdzielcza i zabezpieczająca </w:t>
      </w:r>
    </w:p>
    <w:p w14:paraId="4FEC4A94" w14:textId="77777777" w:rsidR="00CE76C4" w:rsidRPr="00BE5F22" w:rsidRDefault="00CE76C4" w:rsidP="00BE5F22">
      <w:pPr>
        <w:pStyle w:val="Tekstpodstawowywcity2"/>
        <w:ind w:firstLine="0"/>
        <w:rPr>
          <w:rFonts w:ascii="Times New Roman" w:hAnsi="Times New Roman" w:cs="Times New Roman"/>
          <w:szCs w:val="22"/>
        </w:rPr>
      </w:pPr>
      <w:r w:rsidRPr="00BE5F22">
        <w:rPr>
          <w:rFonts w:ascii="Times New Roman" w:hAnsi="Times New Roman" w:cs="Times New Roman"/>
          <w:szCs w:val="22"/>
        </w:rPr>
        <w:t>Zastosowane aparaty o konstrukcji modułowej muszą posiadać:</w:t>
      </w:r>
    </w:p>
    <w:p w14:paraId="36F5F6B8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jednorodny system budowy zewnętrznej niezależnie od wielkości aparatu,</w:t>
      </w:r>
    </w:p>
    <w:p w14:paraId="1506BA5A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jednorodna szatę graficzną, taki sam kolor obudowy, zastosowanie do nadruku na aparatach takich samych kolorów i takiej samej czcionki,</w:t>
      </w:r>
    </w:p>
    <w:p w14:paraId="3E27C971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 xml:space="preserve">umiejscowienie elementów napędu mechanizmów w tym samym miejscu obudowy, </w:t>
      </w:r>
    </w:p>
    <w:p w14:paraId="1767B71D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umożliwienie instalatorowi wykonania opisu umiejscowienia aparatów w instalacji elektrycznej, specjalne miejsce na opis obwodu tzw.</w:t>
      </w:r>
      <w:r w:rsidR="00AD7A53">
        <w:rPr>
          <w:sz w:val="22"/>
          <w:szCs w:val="22"/>
        </w:rPr>
        <w:t xml:space="preserve"> </w:t>
      </w:r>
      <w:r w:rsidRPr="00BE5F22">
        <w:rPr>
          <w:sz w:val="22"/>
          <w:szCs w:val="22"/>
        </w:rPr>
        <w:t>”okienko opisowe” zabezpieczone przeźroczystym materiałem tworzywowym,</w:t>
      </w:r>
    </w:p>
    <w:p w14:paraId="00E89CD2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łatwość zapinania aparatów na wsporniku montażowym TH35,</w:t>
      </w:r>
    </w:p>
    <w:p w14:paraId="76D4CA20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łatwość wyjmowania aparatów z oprzewodowanej rozdzielnicy, tj dwustopniowy system mocowania umożliwiający demontaż aparatów przy założonej szynie zasilającej grzebieniowej lub sztyftowej,</w:t>
      </w:r>
    </w:p>
    <w:p w14:paraId="5C5B2369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osłonięte przyłącza, czyli przesłony zacisków  zapobiegające nieprawidłowemu umieszczeniu przewodu poza zaciskiem aparatu,</w:t>
      </w:r>
    </w:p>
    <w:p w14:paraId="2F6A6D34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konstrukcja zacisków umożliwiająca przyłączanie szyn łączeniowych grzebieniowych (dolne zaciski) oraz sztyftowych (zaciski górne i dolne),</w:t>
      </w:r>
    </w:p>
    <w:p w14:paraId="20EC399C" w14:textId="77777777" w:rsidR="00CE76C4" w:rsidRPr="00BE5F22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0" w:firstLine="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możliwość blokowania dźwigni załączającej w położeniu załączonym aparatu lub wyłączonym,</w:t>
      </w:r>
    </w:p>
    <w:p w14:paraId="216AE7B8" w14:textId="77777777" w:rsidR="00CE76C4" w:rsidRDefault="00CE76C4" w:rsidP="00BE5F22">
      <w:pPr>
        <w:numPr>
          <w:ilvl w:val="0"/>
          <w:numId w:val="2"/>
        </w:numPr>
        <w:shd w:val="clear" w:color="auto" w:fill="FFFFFF"/>
        <w:tabs>
          <w:tab w:val="clear" w:pos="720"/>
          <w:tab w:val="left" w:pos="360"/>
        </w:tabs>
        <w:ind w:left="360"/>
        <w:jc w:val="both"/>
        <w:rPr>
          <w:sz w:val="22"/>
          <w:szCs w:val="22"/>
        </w:rPr>
      </w:pPr>
      <w:r w:rsidRPr="00BE5F22">
        <w:rPr>
          <w:sz w:val="22"/>
          <w:szCs w:val="22"/>
        </w:rPr>
        <w:t>konstrukcyjne dostosowanie aparatów  do stosowania we wszystkich układach sieci jednofazowych i trójfazowych.</w:t>
      </w:r>
    </w:p>
    <w:p w14:paraId="1D4853B7" w14:textId="77777777" w:rsidR="001F207B" w:rsidRPr="000E795C" w:rsidRDefault="001F207B" w:rsidP="001F207B">
      <w:pPr>
        <w:shd w:val="clear" w:color="auto" w:fill="FFFFFF"/>
        <w:tabs>
          <w:tab w:val="left" w:pos="360"/>
        </w:tabs>
        <w:jc w:val="both"/>
        <w:rPr>
          <w:b/>
          <w:bCs/>
          <w:color w:val="FF0000"/>
          <w:sz w:val="16"/>
          <w:szCs w:val="16"/>
          <w:u w:val="single"/>
        </w:rPr>
      </w:pPr>
    </w:p>
    <w:p w14:paraId="7AC04D19" w14:textId="77777777" w:rsidR="00CE76C4" w:rsidRPr="00700474" w:rsidRDefault="001F207B" w:rsidP="001F207B">
      <w:pPr>
        <w:shd w:val="clear" w:color="auto" w:fill="FFFFFF"/>
        <w:tabs>
          <w:tab w:val="left" w:pos="360"/>
        </w:tabs>
        <w:jc w:val="both"/>
        <w:rPr>
          <w:b/>
          <w:bCs/>
          <w:sz w:val="22"/>
          <w:szCs w:val="22"/>
          <w:u w:val="single"/>
        </w:rPr>
      </w:pPr>
      <w:r w:rsidRPr="00700474">
        <w:rPr>
          <w:b/>
          <w:bCs/>
          <w:sz w:val="22"/>
          <w:szCs w:val="22"/>
          <w:u w:val="single"/>
        </w:rPr>
        <w:t>W</w:t>
      </w:r>
      <w:r w:rsidR="00CB153C" w:rsidRPr="00700474">
        <w:rPr>
          <w:b/>
          <w:bCs/>
          <w:sz w:val="22"/>
          <w:szCs w:val="22"/>
          <w:u w:val="single"/>
        </w:rPr>
        <w:t xml:space="preserve"> ramach jednej oferty </w:t>
      </w:r>
      <w:r w:rsidRPr="00700474">
        <w:rPr>
          <w:b/>
          <w:bCs/>
          <w:sz w:val="22"/>
          <w:szCs w:val="22"/>
          <w:u w:val="single"/>
        </w:rPr>
        <w:t xml:space="preserve">modułowa aparatura rozdzielcza i zabezpieczająca </w:t>
      </w:r>
      <w:r w:rsidR="00CB153C" w:rsidRPr="00700474">
        <w:rPr>
          <w:b/>
          <w:bCs/>
          <w:sz w:val="22"/>
          <w:szCs w:val="22"/>
          <w:u w:val="single"/>
        </w:rPr>
        <w:t xml:space="preserve">powinna </w:t>
      </w:r>
      <w:r w:rsidR="00351117" w:rsidRPr="00700474">
        <w:rPr>
          <w:b/>
          <w:bCs/>
          <w:sz w:val="22"/>
          <w:szCs w:val="22"/>
          <w:u w:val="single"/>
        </w:rPr>
        <w:t>pochodzić od jednego producenta, z wyłączeniem ogranicznik</w:t>
      </w:r>
      <w:r w:rsidRPr="00700474">
        <w:rPr>
          <w:b/>
          <w:bCs/>
          <w:sz w:val="22"/>
          <w:szCs w:val="22"/>
          <w:u w:val="single"/>
        </w:rPr>
        <w:t>ów</w:t>
      </w:r>
      <w:r w:rsidR="00351117" w:rsidRPr="00700474">
        <w:rPr>
          <w:b/>
          <w:bCs/>
          <w:sz w:val="22"/>
          <w:szCs w:val="22"/>
          <w:u w:val="single"/>
        </w:rPr>
        <w:t xml:space="preserve"> przepięć</w:t>
      </w:r>
      <w:r w:rsidRPr="00700474">
        <w:rPr>
          <w:b/>
          <w:bCs/>
          <w:sz w:val="22"/>
          <w:szCs w:val="22"/>
          <w:u w:val="single"/>
        </w:rPr>
        <w:t xml:space="preserve"> i przekaźników sterujących.</w:t>
      </w:r>
    </w:p>
    <w:sectPr w:rsidR="00CE76C4" w:rsidRPr="00700474" w:rsidSect="00BE5F22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5D02"/>
    <w:multiLevelType w:val="multilevel"/>
    <w:tmpl w:val="A742230E"/>
    <w:lvl w:ilvl="0">
      <w:start w:val="1"/>
      <w:numFmt w:val="none"/>
      <w:lvlText w:val="A"/>
      <w:lvlJc w:val="left"/>
      <w:pPr>
        <w:tabs>
          <w:tab w:val="num" w:pos="0"/>
        </w:tabs>
      </w:pPr>
      <w:rPr>
        <w:rFonts w:ascii="Arial" w:hAnsi="Arial" w:cs="Times New Roman" w:hint="default"/>
        <w:b/>
        <w:i w:val="0"/>
        <w:sz w:val="32"/>
        <w:szCs w:val="32"/>
      </w:rPr>
    </w:lvl>
    <w:lvl w:ilvl="1">
      <w:start w:val="1"/>
      <w:numFmt w:val="decimal"/>
      <w:lvlText w:val="%1A.%2."/>
      <w:lvlJc w:val="left"/>
      <w:pPr>
        <w:tabs>
          <w:tab w:val="num" w:pos="567"/>
        </w:tabs>
        <w:ind w:firstLine="567"/>
      </w:pPr>
      <w:rPr>
        <w:rFonts w:ascii="Arial" w:hAnsi="Arial"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A.%2.%3."/>
      <w:lvlJc w:val="left"/>
      <w:pPr>
        <w:tabs>
          <w:tab w:val="num" w:pos="1134"/>
        </w:tabs>
        <w:ind w:firstLine="1134"/>
      </w:pPr>
      <w:rPr>
        <w:rFonts w:ascii="Arial" w:hAnsi="Arial" w:cs="Times New Roman" w:hint="default"/>
        <w:b w:val="0"/>
        <w:i w:val="0"/>
        <w:sz w:val="28"/>
        <w:szCs w:val="28"/>
      </w:rPr>
    </w:lvl>
    <w:lvl w:ilvl="3">
      <w:start w:val="1"/>
      <w:numFmt w:val="lowerLetter"/>
      <w:lvlText w:val="A%1.%2.%3.%4"/>
      <w:lvlJc w:val="left"/>
      <w:pPr>
        <w:tabs>
          <w:tab w:val="num" w:pos="1701"/>
        </w:tabs>
        <w:ind w:firstLine="1701"/>
      </w:pPr>
      <w:rPr>
        <w:rFonts w:cs="Times New Roman" w:hint="default"/>
        <w:b/>
      </w:rPr>
    </w:lvl>
    <w:lvl w:ilvl="4">
      <w:start w:val="1"/>
      <w:numFmt w:val="decimal"/>
      <w:lvlText w:val="A%1.%2.%3.%4.%5)"/>
      <w:lvlJc w:val="left"/>
      <w:pPr>
        <w:tabs>
          <w:tab w:val="num" w:pos="72"/>
        </w:tabs>
        <w:ind w:left="72" w:firstLine="2268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5">
      <w:start w:val="1"/>
      <w:numFmt w:val="none"/>
      <w:lvlText w:val=""/>
      <w:lvlJc w:val="left"/>
      <w:pPr>
        <w:tabs>
          <w:tab w:val="num" w:pos="1711"/>
        </w:tabs>
        <w:ind w:left="1349" w:firstLine="2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2431"/>
        </w:tabs>
        <w:ind w:left="207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151"/>
        </w:tabs>
        <w:ind w:left="279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3871"/>
        </w:tabs>
        <w:ind w:left="3511"/>
      </w:pPr>
      <w:rPr>
        <w:rFonts w:cs="Times New Roman" w:hint="default"/>
      </w:rPr>
    </w:lvl>
  </w:abstractNum>
  <w:abstractNum w:abstractNumId="1" w15:restartNumberingAfterBreak="0">
    <w:nsid w:val="4ED92093"/>
    <w:multiLevelType w:val="hybridMultilevel"/>
    <w:tmpl w:val="AFC8FAF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7943AD1"/>
    <w:multiLevelType w:val="hybridMultilevel"/>
    <w:tmpl w:val="E1E23B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8043247">
    <w:abstractNumId w:val="0"/>
  </w:num>
  <w:num w:numId="2" w16cid:durableId="473259881">
    <w:abstractNumId w:val="2"/>
  </w:num>
  <w:num w:numId="3" w16cid:durableId="1712267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E9"/>
    <w:rsid w:val="000029F3"/>
    <w:rsid w:val="000070CF"/>
    <w:rsid w:val="00063F49"/>
    <w:rsid w:val="000E795C"/>
    <w:rsid w:val="00124C56"/>
    <w:rsid w:val="001A6541"/>
    <w:rsid w:val="001C44FE"/>
    <w:rsid w:val="001F207B"/>
    <w:rsid w:val="001F3B77"/>
    <w:rsid w:val="00246DD7"/>
    <w:rsid w:val="00274250"/>
    <w:rsid w:val="002C6252"/>
    <w:rsid w:val="002E1AFD"/>
    <w:rsid w:val="00314451"/>
    <w:rsid w:val="00351117"/>
    <w:rsid w:val="003B039D"/>
    <w:rsid w:val="003D6B6F"/>
    <w:rsid w:val="003E3B53"/>
    <w:rsid w:val="004140DC"/>
    <w:rsid w:val="00415BFE"/>
    <w:rsid w:val="00456071"/>
    <w:rsid w:val="004767E5"/>
    <w:rsid w:val="004D2D67"/>
    <w:rsid w:val="005F01CE"/>
    <w:rsid w:val="00600100"/>
    <w:rsid w:val="006021EB"/>
    <w:rsid w:val="00630DE5"/>
    <w:rsid w:val="00647276"/>
    <w:rsid w:val="006E1844"/>
    <w:rsid w:val="00700474"/>
    <w:rsid w:val="00701674"/>
    <w:rsid w:val="0071738B"/>
    <w:rsid w:val="007212D6"/>
    <w:rsid w:val="008449F9"/>
    <w:rsid w:val="008F0EE6"/>
    <w:rsid w:val="009016EA"/>
    <w:rsid w:val="00906D31"/>
    <w:rsid w:val="009108B9"/>
    <w:rsid w:val="00975467"/>
    <w:rsid w:val="009B33DC"/>
    <w:rsid w:val="009B4797"/>
    <w:rsid w:val="009D0397"/>
    <w:rsid w:val="00AD7A53"/>
    <w:rsid w:val="00B2448F"/>
    <w:rsid w:val="00B3553A"/>
    <w:rsid w:val="00B703E9"/>
    <w:rsid w:val="00B723DA"/>
    <w:rsid w:val="00B9172F"/>
    <w:rsid w:val="00BD1FD3"/>
    <w:rsid w:val="00BE5F22"/>
    <w:rsid w:val="00C406F6"/>
    <w:rsid w:val="00C64011"/>
    <w:rsid w:val="00C66B18"/>
    <w:rsid w:val="00CB153C"/>
    <w:rsid w:val="00CE76C4"/>
    <w:rsid w:val="00D30FA1"/>
    <w:rsid w:val="00DE6D48"/>
    <w:rsid w:val="00E1452B"/>
    <w:rsid w:val="00E3357A"/>
    <w:rsid w:val="00E94103"/>
    <w:rsid w:val="00EE1C5B"/>
    <w:rsid w:val="00F445CF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880F46"/>
  <w15:docId w15:val="{D2401C0D-FB5A-4736-86A2-8A2601AD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03E9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uiPriority w:val="99"/>
    <w:semiHidden/>
    <w:rsid w:val="00B703E9"/>
    <w:pPr>
      <w:ind w:left="283" w:hanging="283"/>
    </w:pPr>
  </w:style>
  <w:style w:type="paragraph" w:styleId="Tekstpodstawowywcity2">
    <w:name w:val="Body Text Indent 2"/>
    <w:basedOn w:val="Normalny"/>
    <w:link w:val="Tekstpodstawowywcity2Znak"/>
    <w:uiPriority w:val="99"/>
    <w:rsid w:val="00B703E9"/>
    <w:pPr>
      <w:ind w:firstLine="709"/>
      <w:jc w:val="both"/>
    </w:pPr>
    <w:rPr>
      <w:rFonts w:ascii="Arial" w:hAnsi="Arial" w:cs="Arial"/>
      <w:sz w:val="22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703E9"/>
    <w:rPr>
      <w:rFonts w:ascii="Arial" w:hAnsi="Arial" w:cs="Arial"/>
      <w:sz w:val="24"/>
      <w:szCs w:val="24"/>
      <w:lang w:val="pl-PL" w:eastAsia="pl-PL"/>
    </w:rPr>
  </w:style>
  <w:style w:type="paragraph" w:customStyle="1" w:styleId="Akapitzlist1">
    <w:name w:val="Akapit z listą1"/>
    <w:basedOn w:val="Normalny"/>
    <w:uiPriority w:val="99"/>
    <w:qFormat/>
    <w:rsid w:val="00602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Rozdzielnice niskiego napięcia</vt:lpstr>
    </vt:vector>
  </TitlesOfParts>
  <Company>Legrand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Rozdzielnice niskiego napięcia</dc:title>
  <dc:creator>Jagas.Radoslaw</dc:creator>
  <cp:lastModifiedBy>Anna Brylewska</cp:lastModifiedBy>
  <cp:revision>12</cp:revision>
  <cp:lastPrinted>2022-07-18T09:40:00Z</cp:lastPrinted>
  <dcterms:created xsi:type="dcterms:W3CDTF">2022-05-13T08:55:00Z</dcterms:created>
  <dcterms:modified xsi:type="dcterms:W3CDTF">2026-03-03T10:23:00Z</dcterms:modified>
</cp:coreProperties>
</file>